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DA" w:rsidRPr="000237FA" w:rsidRDefault="00D017B6" w:rsidP="00D206DA">
      <w:pPr>
        <w:jc w:val="center"/>
        <w:rPr>
          <w:b/>
        </w:rPr>
      </w:pPr>
      <w:bookmarkStart w:id="0" w:name="_GoBack"/>
      <w:bookmarkEnd w:id="0"/>
      <w:r w:rsidRPr="000237FA">
        <w:rPr>
          <w:b/>
        </w:rPr>
        <w:t>Определение мощности эквивалентной дозы на площадке ДКХОЯТ</w:t>
      </w:r>
    </w:p>
    <w:p w:rsidR="00D017B6" w:rsidRPr="000237FA" w:rsidRDefault="00D017B6" w:rsidP="00D206DA">
      <w:pPr>
        <w:jc w:val="center"/>
        <w:rPr>
          <w:b/>
          <w:lang w:eastAsia="en-US"/>
        </w:rPr>
      </w:pPr>
      <w:r w:rsidRPr="000237FA">
        <w:rPr>
          <w:b/>
        </w:rPr>
        <w:t>от контейнеров УКХ с ОЯТ РУ БН-350</w:t>
      </w:r>
    </w:p>
    <w:p w:rsidR="00A5232B" w:rsidRPr="000237FA" w:rsidRDefault="00A5232B" w:rsidP="00D017B6">
      <w:pPr>
        <w:rPr>
          <w:b/>
        </w:rPr>
      </w:pPr>
    </w:p>
    <w:p w:rsidR="00D017B6" w:rsidRDefault="00D017B6" w:rsidP="00D206DA">
      <w:pPr>
        <w:jc w:val="center"/>
      </w:pPr>
      <w:r w:rsidRPr="00495FDD">
        <w:rPr>
          <w:sz w:val="28"/>
          <w:szCs w:val="28"/>
        </w:rPr>
        <w:t>Прозорова И.В., Мухамедиев К.С., Прозоров А.А</w:t>
      </w:r>
      <w:r>
        <w:t>.</w:t>
      </w:r>
    </w:p>
    <w:p w:rsidR="000237FA" w:rsidRDefault="000237FA" w:rsidP="000237FA">
      <w:pPr>
        <w:ind w:firstLine="567"/>
        <w:jc w:val="center"/>
        <w:rPr>
          <w:i/>
        </w:rPr>
      </w:pPr>
      <w:r>
        <w:rPr>
          <w:i/>
        </w:rPr>
        <w:t>ИАЭ РГП НЯЦ РК, г. Курчатов, Казахстан</w:t>
      </w:r>
    </w:p>
    <w:p w:rsidR="000237FA" w:rsidRPr="005F5A28" w:rsidRDefault="000237FA" w:rsidP="000237FA">
      <w:pPr>
        <w:ind w:firstLine="567"/>
        <w:jc w:val="center"/>
      </w:pPr>
      <w:r w:rsidRPr="005F5A28">
        <w:rPr>
          <w:i/>
          <w:lang w:val="en-US"/>
        </w:rPr>
        <w:t>Email</w:t>
      </w:r>
      <w:r w:rsidRPr="005F5A28">
        <w:rPr>
          <w:i/>
        </w:rPr>
        <w:t xml:space="preserve">: </w:t>
      </w:r>
      <w:hyperlink r:id="rId5" w:history="1">
        <w:r w:rsidRPr="005F5A28">
          <w:rPr>
            <w:rStyle w:val="a3"/>
            <w:color w:val="auto"/>
            <w:lang w:val="en-US"/>
          </w:rPr>
          <w:t>P</w:t>
        </w:r>
        <w:r w:rsidRPr="005F5A28">
          <w:rPr>
            <w:rStyle w:val="a3"/>
            <w:color w:val="auto"/>
          </w:rPr>
          <w:t>rozorova@nnc.kz</w:t>
        </w:r>
      </w:hyperlink>
    </w:p>
    <w:p w:rsidR="000237FA" w:rsidRPr="005F5A28" w:rsidRDefault="000237FA" w:rsidP="000237FA">
      <w:pPr>
        <w:ind w:firstLine="567"/>
        <w:jc w:val="center"/>
        <w:rPr>
          <w:i/>
        </w:rPr>
      </w:pPr>
    </w:p>
    <w:p w:rsidR="005F5A28" w:rsidRPr="005F5A28" w:rsidRDefault="005F5A28" w:rsidP="000237FA">
      <w:pPr>
        <w:ind w:firstLine="567"/>
        <w:jc w:val="center"/>
        <w:rPr>
          <w:i/>
        </w:rPr>
      </w:pPr>
    </w:p>
    <w:p w:rsidR="0054058E" w:rsidRPr="0054058E" w:rsidRDefault="0054058E" w:rsidP="00D206DA">
      <w:pPr>
        <w:ind w:firstLine="709"/>
        <w:jc w:val="both"/>
      </w:pPr>
      <w:r>
        <w:rPr>
          <w:lang w:val="kk-KZ"/>
        </w:rPr>
        <w:t>На территории Казахстана с</w:t>
      </w:r>
      <w:proofErr w:type="spellStart"/>
      <w:r>
        <w:t>оздан</w:t>
      </w:r>
      <w:proofErr w:type="spellEnd"/>
      <w:r>
        <w:rPr>
          <w:lang w:val="kk-KZ"/>
        </w:rPr>
        <w:t>о</w:t>
      </w:r>
      <w:r>
        <w:t xml:space="preserve"> хранилища отработавшего топлива реактора БН</w:t>
      </w:r>
      <w:r>
        <w:noBreakHyphen/>
        <w:t xml:space="preserve">350, содержащего плутоний и обогащённый уран. </w:t>
      </w:r>
      <w:r w:rsidRPr="0054058E">
        <w:t>Технические характеристики и конструкция всех устройств и систем хранилища должны обеспечивать ядерную и радиационную безопасность для обслуживающего персонала и населения прилегающего к площадке хранилища региона, а также исключать возможность радиоактивного загрязнения окружающей среды, с учётом природных и техногенных факторов</w:t>
      </w:r>
      <w:r>
        <w:rPr>
          <w:lang w:val="kk-KZ"/>
        </w:rPr>
        <w:t xml:space="preserve"> </w:t>
      </w:r>
      <w:r>
        <w:t>в соответствии с требованиями нормативно</w:t>
      </w:r>
      <w:r>
        <w:noBreakHyphen/>
        <w:t>технической документации, действующей в РК.</w:t>
      </w:r>
    </w:p>
    <w:p w:rsidR="0054058E" w:rsidRDefault="0054058E" w:rsidP="00D206DA">
      <w:pPr>
        <w:ind w:firstLine="709"/>
        <w:jc w:val="both"/>
      </w:pPr>
      <w:r>
        <w:t>Были проведены нейтронно-физические расчеты по определению мощности эквивалентной дозы (МЭД) на территории площадки долговременного контейнерного хранилища отработанного ядерного топлива (ДКХОЯТ) от размещенных на нем контейнеров упаковочных комплектов хранения (УКХ)</w:t>
      </w:r>
      <w:r w:rsidR="005C4B96">
        <w:t xml:space="preserve"> (рис.1)</w:t>
      </w:r>
      <w:r>
        <w:t xml:space="preserve"> с отработанным ядерным топливом (ОЯТ)</w:t>
      </w:r>
      <w:r w:rsidR="005C4B96">
        <w:t>.</w:t>
      </w:r>
    </w:p>
    <w:p w:rsidR="000237FA" w:rsidRPr="004241F7" w:rsidRDefault="000237FA" w:rsidP="000237FA">
      <w:pPr>
        <w:pStyle w:val="11"/>
        <w:ind w:firstLine="709"/>
        <w:jc w:val="center"/>
        <w:rPr>
          <w:sz w:val="24"/>
          <w:szCs w:val="24"/>
        </w:rPr>
      </w:pPr>
      <w:r w:rsidRPr="004241F7">
        <w:rPr>
          <w:noProof/>
          <w:sz w:val="24"/>
          <w:szCs w:val="24"/>
        </w:rPr>
        <w:drawing>
          <wp:inline distT="0" distB="0" distL="0" distR="0" wp14:anchorId="5229A071" wp14:editId="21FCFC00">
            <wp:extent cx="2953385" cy="2953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FA" w:rsidRPr="005F5A28" w:rsidRDefault="000237FA" w:rsidP="000237FA">
      <w:pPr>
        <w:pStyle w:val="a4"/>
        <w:ind w:left="0"/>
        <w:jc w:val="center"/>
        <w:rPr>
          <w:i/>
          <w:szCs w:val="24"/>
        </w:rPr>
      </w:pPr>
      <w:r w:rsidRPr="005F5A28">
        <w:rPr>
          <w:i/>
          <w:szCs w:val="24"/>
        </w:rPr>
        <w:t>Рисунок 1 – Расчетная конфигурация УКХ</w:t>
      </w:r>
    </w:p>
    <w:p w:rsidR="0054058E" w:rsidRDefault="000237FA" w:rsidP="00D206DA">
      <w:pPr>
        <w:ind w:firstLine="709"/>
        <w:jc w:val="both"/>
      </w:pPr>
      <w:r>
        <w:t xml:space="preserve">В ходе исследований в </w:t>
      </w:r>
      <w:r w:rsidR="0054058E">
        <w:t>обоснование радиационной безопасности персонала, задействованного при работах с ОЯТ на территории ДКХОЯТ</w:t>
      </w:r>
      <w:r w:rsidR="00D206DA">
        <w:t xml:space="preserve"> были</w:t>
      </w:r>
      <w:r w:rsidR="0054058E">
        <w:rPr>
          <w:lang w:val="kk-KZ"/>
        </w:rPr>
        <w:t xml:space="preserve"> </w:t>
      </w:r>
      <w:proofErr w:type="spellStart"/>
      <w:r w:rsidR="0054058E">
        <w:t>определ</w:t>
      </w:r>
      <w:proofErr w:type="spellEnd"/>
      <w:r w:rsidR="0054058E">
        <w:rPr>
          <w:lang w:val="kk-KZ"/>
        </w:rPr>
        <w:t>ены</w:t>
      </w:r>
      <w:r w:rsidR="0054058E">
        <w:t>:</w:t>
      </w:r>
    </w:p>
    <w:p w:rsidR="0054058E" w:rsidRDefault="0054058E" w:rsidP="00D206DA">
      <w:pPr>
        <w:ind w:firstLine="709"/>
      </w:pPr>
      <w:r>
        <w:t>•</w:t>
      </w:r>
      <w:r>
        <w:tab/>
        <w:t xml:space="preserve">значения МЭД на </w:t>
      </w:r>
      <w:proofErr w:type="gramStart"/>
      <w:r>
        <w:t>площадке  ДКХОЯТ</w:t>
      </w:r>
      <w:proofErr w:type="gramEnd"/>
      <w:r>
        <w:t xml:space="preserve"> и прилегающей территории;</w:t>
      </w:r>
    </w:p>
    <w:p w:rsidR="00A5232B" w:rsidRDefault="0054058E" w:rsidP="00D206DA">
      <w:pPr>
        <w:ind w:firstLine="709"/>
      </w:pPr>
      <w:r>
        <w:t>•</w:t>
      </w:r>
      <w:r>
        <w:tab/>
        <w:t>границы зон для персонала разных категорий.</w:t>
      </w:r>
    </w:p>
    <w:p w:rsidR="00D206DA" w:rsidRDefault="00D206DA" w:rsidP="00D206DA">
      <w:pPr>
        <w:jc w:val="both"/>
      </w:pPr>
      <w:r>
        <w:t xml:space="preserve">В результате были получены данные о дозовых полях </w:t>
      </w:r>
      <w:proofErr w:type="gramStart"/>
      <w:r>
        <w:t>нейтронного и фотонного излучения</w:t>
      </w:r>
      <w:proofErr w:type="gramEnd"/>
      <w:r>
        <w:t xml:space="preserve"> создаваемого </w:t>
      </w:r>
      <w:r w:rsidR="000237FA">
        <w:t xml:space="preserve">60 </w:t>
      </w:r>
      <w:r>
        <w:t xml:space="preserve">контейнерами с отработавшим ядерным топливом. </w:t>
      </w:r>
      <w:r w:rsidRPr="00A61904">
        <w:t xml:space="preserve"> </w:t>
      </w:r>
    </w:p>
    <w:p w:rsidR="0054058E" w:rsidRDefault="000237FA" w:rsidP="00961CBE">
      <w:pPr>
        <w:ind w:firstLine="709"/>
        <w:jc w:val="both"/>
      </w:pPr>
      <w:r>
        <w:t>Были р</w:t>
      </w:r>
      <w:r w:rsidR="00D206DA">
        <w:t>ассмотрены аварийные ситуации</w:t>
      </w:r>
      <w:r>
        <w:t>, анализ данных показал, что п</w:t>
      </w:r>
      <w:r w:rsidR="00D206DA" w:rsidRPr="00D206DA">
        <w:t>ри всех возможных аварийных ситуациях и авариях максимальная поглощенная доза на границе зоны (площадки) не превыша</w:t>
      </w:r>
      <w:r w:rsidR="00961CBE">
        <w:t>ет</w:t>
      </w:r>
      <w:r w:rsidR="00D206DA" w:rsidRPr="00D206DA">
        <w:t xml:space="preserve"> пределов, установленных нормативными документами</w:t>
      </w:r>
      <w:r w:rsidR="005C4B96">
        <w:rPr>
          <w:lang w:val="kk-KZ"/>
        </w:rPr>
        <w:t>х</w:t>
      </w:r>
      <w:r w:rsidR="005C4B96" w:rsidRPr="005C4B96">
        <w:t>[1]</w:t>
      </w:r>
      <w:r w:rsidR="00D206DA">
        <w:t>.</w:t>
      </w:r>
    </w:p>
    <w:p w:rsidR="005C4B96" w:rsidRDefault="005C4B96" w:rsidP="000237FA">
      <w:pPr>
        <w:autoSpaceDE w:val="0"/>
        <w:autoSpaceDN w:val="0"/>
        <w:adjustRightInd w:val="0"/>
      </w:pPr>
    </w:p>
    <w:p w:rsidR="000237FA" w:rsidRPr="005C4B96" w:rsidRDefault="000237FA" w:rsidP="000237FA">
      <w:pPr>
        <w:autoSpaceDE w:val="0"/>
        <w:autoSpaceDN w:val="0"/>
        <w:adjustRightInd w:val="0"/>
      </w:pPr>
      <w:r w:rsidRPr="005C4B96">
        <w:t>Литература</w:t>
      </w:r>
    </w:p>
    <w:p w:rsidR="0054058E" w:rsidRDefault="000237FA" w:rsidP="005C4B96">
      <w:pPr>
        <w:pStyle w:val="2"/>
        <w:numPr>
          <w:ilvl w:val="1"/>
          <w:numId w:val="2"/>
        </w:numPr>
        <w:tabs>
          <w:tab w:val="left" w:pos="851"/>
        </w:tabs>
        <w:ind w:left="0" w:firstLine="567"/>
      </w:pPr>
      <w:r w:rsidRPr="00495FDD">
        <w:rPr>
          <w:sz w:val="24"/>
          <w:szCs w:val="24"/>
        </w:rPr>
        <w:t>Гигиенические нормативы. «Санитарно-эпидемиологические требования к обеспечению радиационной безопасности». Утверждены приказом Министра национальной экономики Республики Казахстан от 27 февраля 2015 г.</w:t>
      </w:r>
    </w:p>
    <w:sectPr w:rsidR="0054058E" w:rsidSect="00495F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074A"/>
    <w:multiLevelType w:val="hybridMultilevel"/>
    <w:tmpl w:val="5C5C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17A"/>
    <w:multiLevelType w:val="multilevel"/>
    <w:tmpl w:val="49023812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2977" w:firstLine="851"/>
      </w:pPr>
      <w:rPr>
        <w:b w:val="0"/>
        <w:color w:val="auto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284" w:firstLine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CF30CC"/>
    <w:multiLevelType w:val="multilevel"/>
    <w:tmpl w:val="5B6CD7EC"/>
    <w:lvl w:ilvl="0">
      <w:start w:val="1"/>
      <w:numFmt w:val="decimal"/>
      <w:suff w:val="space"/>
      <w:lvlText w:val="%1"/>
      <w:lvlJc w:val="left"/>
      <w:pPr>
        <w:ind w:left="0" w:firstLine="851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2" w:firstLine="851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</w:lvl>
    <w:lvl w:ilvl="3">
      <w:start w:val="1"/>
      <w:numFmt w:val="decimal"/>
      <w:suff w:val="space"/>
      <w:lvlText w:val="%1.%2.%3.%4"/>
      <w:lvlJc w:val="left"/>
      <w:pPr>
        <w:ind w:left="284" w:firstLine="56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B6"/>
    <w:rsid w:val="000237FA"/>
    <w:rsid w:val="001822B6"/>
    <w:rsid w:val="001B59AA"/>
    <w:rsid w:val="00495FDD"/>
    <w:rsid w:val="004E6DA4"/>
    <w:rsid w:val="0053749E"/>
    <w:rsid w:val="0054058E"/>
    <w:rsid w:val="005C4B96"/>
    <w:rsid w:val="005F5A28"/>
    <w:rsid w:val="008C0AAC"/>
    <w:rsid w:val="009063B8"/>
    <w:rsid w:val="0095593F"/>
    <w:rsid w:val="00961CBE"/>
    <w:rsid w:val="00A5232B"/>
    <w:rsid w:val="00B40373"/>
    <w:rsid w:val="00D017B6"/>
    <w:rsid w:val="00D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55A779-3C3C-4FCF-868F-EB62118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B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7FA"/>
    <w:pPr>
      <w:numPr>
        <w:numId w:val="1"/>
      </w:numPr>
      <w:spacing w:before="640" w:after="260"/>
      <w:outlineLvl w:val="0"/>
    </w:pPr>
    <w:rPr>
      <w:rFonts w:eastAsia="Times New Roman"/>
      <w:b/>
      <w:cap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0237FA"/>
    <w:pPr>
      <w:numPr>
        <w:ilvl w:val="1"/>
        <w:numId w:val="1"/>
      </w:numPr>
      <w:jc w:val="both"/>
      <w:outlineLvl w:val="1"/>
    </w:pPr>
    <w:rPr>
      <w:rFonts w:eastAsia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237FA"/>
    <w:pPr>
      <w:numPr>
        <w:ilvl w:val="2"/>
        <w:numId w:val="1"/>
      </w:numPr>
      <w:jc w:val="both"/>
      <w:outlineLvl w:val="2"/>
    </w:pPr>
    <w:rPr>
      <w:rFonts w:eastAsia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0237FA"/>
    <w:pPr>
      <w:keepNext/>
      <w:numPr>
        <w:ilvl w:val="3"/>
        <w:numId w:val="1"/>
      </w:numPr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0237FA"/>
    <w:pPr>
      <w:numPr>
        <w:ilvl w:val="4"/>
        <w:numId w:val="1"/>
      </w:numPr>
      <w:jc w:val="both"/>
      <w:outlineLvl w:val="4"/>
    </w:pPr>
    <w:rPr>
      <w:rFonts w:eastAsia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0237FA"/>
    <w:pPr>
      <w:numPr>
        <w:ilvl w:val="5"/>
        <w:numId w:val="1"/>
      </w:numPr>
      <w:jc w:val="both"/>
      <w:outlineLvl w:val="5"/>
    </w:pPr>
    <w:rPr>
      <w:rFonts w:eastAsia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0237FA"/>
    <w:pPr>
      <w:numPr>
        <w:ilvl w:val="6"/>
        <w:numId w:val="1"/>
      </w:numPr>
      <w:jc w:val="both"/>
      <w:outlineLvl w:val="6"/>
    </w:pPr>
    <w:rPr>
      <w:rFonts w:eastAsia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0237FA"/>
    <w:pPr>
      <w:numPr>
        <w:ilvl w:val="7"/>
        <w:numId w:val="1"/>
      </w:numPr>
      <w:jc w:val="both"/>
      <w:outlineLvl w:val="7"/>
    </w:pPr>
    <w:rPr>
      <w:rFonts w:eastAsia="Times New Roman"/>
      <w:sz w:val="26"/>
      <w:szCs w:val="20"/>
    </w:rPr>
  </w:style>
  <w:style w:type="paragraph" w:styleId="9">
    <w:name w:val="heading 9"/>
    <w:basedOn w:val="a"/>
    <w:next w:val="a"/>
    <w:link w:val="90"/>
    <w:qFormat/>
    <w:rsid w:val="000237FA"/>
    <w:pPr>
      <w:numPr>
        <w:ilvl w:val="8"/>
        <w:numId w:val="1"/>
      </w:numPr>
      <w:spacing w:before="240" w:after="120"/>
      <w:ind w:right="567"/>
      <w:jc w:val="both"/>
      <w:outlineLvl w:val="8"/>
    </w:pPr>
    <w:rPr>
      <w:rFonts w:eastAsia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7F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237FA"/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37F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37F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Обычный1"/>
    <w:rsid w:val="000237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 Indent"/>
    <w:basedOn w:val="a"/>
    <w:link w:val="a5"/>
    <w:rsid w:val="000237FA"/>
    <w:pPr>
      <w:spacing w:after="120"/>
      <w:ind w:left="708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0237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zorova@nnc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Прозорова И.</dc:creator>
  <cp:keywords/>
  <dc:description/>
  <cp:lastModifiedBy>Прозорова И.</cp:lastModifiedBy>
  <cp:revision>6</cp:revision>
  <dcterms:created xsi:type="dcterms:W3CDTF">2021-05-19T05:32:00Z</dcterms:created>
  <dcterms:modified xsi:type="dcterms:W3CDTF">2021-06-30T11:51:00Z</dcterms:modified>
</cp:coreProperties>
</file>