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E9" w:rsidRPr="004F4644" w:rsidRDefault="001036E9" w:rsidP="001036E9">
      <w:pPr>
        <w:jc w:val="center"/>
        <w:rPr>
          <w:b/>
          <w:caps/>
        </w:rPr>
      </w:pPr>
      <w:r>
        <w:rPr>
          <w:b/>
          <w:caps/>
        </w:rPr>
        <w:t xml:space="preserve">МЕТОДИКА расчета содержания основных химических форм йода в воде аварийного приямка ВВЭР </w:t>
      </w:r>
    </w:p>
    <w:p w:rsidR="001036E9" w:rsidRPr="00987111" w:rsidRDefault="001036E9" w:rsidP="001036E9">
      <w:pPr>
        <w:jc w:val="center"/>
      </w:pPr>
    </w:p>
    <w:p w:rsidR="001036E9" w:rsidRPr="00455069" w:rsidRDefault="001036E9" w:rsidP="001036E9">
      <w:pPr>
        <w:pStyle w:val="6"/>
        <w:spacing w:before="0" w:after="0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>К.Д. Хорошилова, А.Б. Сазонов,</w:t>
      </w:r>
      <w:r w:rsidRPr="000F14A8">
        <w:rPr>
          <w:b w:val="0"/>
          <w:sz w:val="28"/>
          <w:szCs w:val="28"/>
        </w:rPr>
        <w:t xml:space="preserve"> В.А. Грачев</w:t>
      </w:r>
      <w:r>
        <w:rPr>
          <w:b w:val="0"/>
          <w:sz w:val="28"/>
          <w:szCs w:val="28"/>
        </w:rPr>
        <w:t xml:space="preserve">, О.С. Быстрова, М.О. </w:t>
      </w:r>
      <w:proofErr w:type="spellStart"/>
      <w:r>
        <w:rPr>
          <w:b w:val="0"/>
          <w:sz w:val="28"/>
          <w:szCs w:val="28"/>
        </w:rPr>
        <w:t>Сорокопуд</w:t>
      </w:r>
      <w:proofErr w:type="spellEnd"/>
      <w:r>
        <w:rPr>
          <w:b w:val="0"/>
          <w:sz w:val="28"/>
          <w:szCs w:val="28"/>
        </w:rPr>
        <w:t xml:space="preserve"> </w:t>
      </w:r>
    </w:p>
    <w:p w:rsidR="001036E9" w:rsidRPr="00455069" w:rsidRDefault="001036E9" w:rsidP="001036E9">
      <w:pPr>
        <w:jc w:val="center"/>
        <w:rPr>
          <w:i/>
          <w:szCs w:val="28"/>
        </w:rPr>
      </w:pPr>
      <w:r>
        <w:rPr>
          <w:i/>
          <w:szCs w:val="28"/>
        </w:rPr>
        <w:t>НИЦ «Курчатовский институт», г. Москва</w:t>
      </w:r>
    </w:p>
    <w:p w:rsidR="001036E9" w:rsidRPr="00455069" w:rsidRDefault="001036E9" w:rsidP="001036E9">
      <w:pPr>
        <w:jc w:val="center"/>
        <w:rPr>
          <w:i/>
        </w:rPr>
      </w:pPr>
      <w:proofErr w:type="gramStart"/>
      <w:r w:rsidRPr="00455069">
        <w:rPr>
          <w:i/>
        </w:rPr>
        <w:t>эл</w:t>
      </w:r>
      <w:proofErr w:type="gramEnd"/>
      <w:r w:rsidRPr="00455069">
        <w:rPr>
          <w:i/>
        </w:rPr>
        <w:t xml:space="preserve">. почта: </w:t>
      </w:r>
      <w:proofErr w:type="spellStart"/>
      <w:r w:rsidRPr="00E2535B">
        <w:rPr>
          <w:i/>
          <w:u w:val="single"/>
          <w:lang w:val="en-US"/>
        </w:rPr>
        <w:t>Horoshilova</w:t>
      </w:r>
      <w:proofErr w:type="spellEnd"/>
      <w:r w:rsidRPr="00E2535B">
        <w:rPr>
          <w:i/>
          <w:u w:val="single"/>
        </w:rPr>
        <w:t>_</w:t>
      </w:r>
      <w:r w:rsidRPr="00E2535B">
        <w:rPr>
          <w:i/>
          <w:u w:val="single"/>
          <w:lang w:val="en-US"/>
        </w:rPr>
        <w:t>KD</w:t>
      </w:r>
      <w:r w:rsidRPr="00E2535B">
        <w:rPr>
          <w:i/>
          <w:u w:val="single"/>
        </w:rPr>
        <w:t>@nrcki.ru</w:t>
      </w:r>
    </w:p>
    <w:p w:rsidR="001036E9" w:rsidRPr="00D8101E" w:rsidRDefault="001036E9" w:rsidP="001036E9">
      <w:pPr>
        <w:jc w:val="center"/>
        <w:rPr>
          <w:szCs w:val="28"/>
        </w:rPr>
      </w:pPr>
    </w:p>
    <w:p w:rsidR="001036E9" w:rsidRPr="00E27443" w:rsidRDefault="001036E9" w:rsidP="001036E9">
      <w:pPr>
        <w:widowControl w:val="0"/>
        <w:ind w:firstLine="851"/>
        <w:jc w:val="both"/>
        <w:rPr>
          <w:rFonts w:eastAsia="Batang"/>
          <w:lang w:eastAsia="ko-KR"/>
        </w:rPr>
      </w:pPr>
      <w:r w:rsidRPr="00E27443">
        <w:t>Для расчета утечки радиоактивных продуктов деления (ПД) в окружающую среду при авариях на АЭС с ВВЭР применяется аттестованное программное средство (ПС) «</w:t>
      </w:r>
      <w:r w:rsidRPr="00E27443">
        <w:rPr>
          <w:lang w:val="en-US"/>
        </w:rPr>
        <w:t>LEAK</w:t>
      </w:r>
      <w:r w:rsidRPr="00E27443">
        <w:t>3» [1].</w:t>
      </w:r>
      <w:r w:rsidRPr="00E27443">
        <w:rPr>
          <w:rFonts w:eastAsia="Batang"/>
          <w:lang w:eastAsia="ko-KR"/>
        </w:rPr>
        <w:t xml:space="preserve"> В рамках этого ПС при оценке выброс</w:t>
      </w:r>
      <w:bookmarkStart w:id="0" w:name="_GoBack"/>
      <w:bookmarkEnd w:id="0"/>
      <w:r w:rsidRPr="00E27443">
        <w:rPr>
          <w:rFonts w:eastAsia="Batang"/>
          <w:lang w:eastAsia="ko-KR"/>
        </w:rPr>
        <w:t xml:space="preserve">ов радиоактивного йода используется величина коэффициента распределения (КР) йода между паром и раствором приямка защитной оболочки. Однако на сегодняшний день в </w:t>
      </w:r>
      <w:r w:rsidRPr="00E27443">
        <w:t>«</w:t>
      </w:r>
      <w:r w:rsidRPr="00E27443">
        <w:rPr>
          <w:lang w:val="en-US"/>
        </w:rPr>
        <w:t>LEAK</w:t>
      </w:r>
      <w:r w:rsidRPr="00E27443">
        <w:t xml:space="preserve">3» </w:t>
      </w:r>
      <w:r w:rsidRPr="00E27443">
        <w:rPr>
          <w:rFonts w:eastAsia="Batang"/>
          <w:lang w:eastAsia="ko-KR"/>
        </w:rPr>
        <w:t>отсутствует методика расчета этой величины: используются лишь отдельные значения КР для разных диапазонов кислотности/щелочности раствора. Целью данной работы стало создание такой методики.</w:t>
      </w:r>
    </w:p>
    <w:p w:rsidR="001036E9" w:rsidRPr="00E27443" w:rsidRDefault="001036E9" w:rsidP="001036E9">
      <w:pPr>
        <w:widowControl w:val="0"/>
        <w:ind w:firstLine="851"/>
        <w:jc w:val="both"/>
        <w:rPr>
          <w:rFonts w:eastAsia="Batang"/>
          <w:lang w:eastAsia="ko-KR"/>
        </w:rPr>
      </w:pPr>
      <w:r w:rsidRPr="00E27443">
        <w:t xml:space="preserve">На КР йода между водной и парогазовой фазой влияют, в первую очередь, его химические превращения. Йод – элемент с переменной валентностью и высокой реакционной способностью. В растворе аварийного приямка он присутствует сразу в нескольких химических формах: </w:t>
      </w:r>
      <w:r w:rsidRPr="00E27443">
        <w:rPr>
          <w:lang w:val="en-US"/>
        </w:rPr>
        <w:t>I</w:t>
      </w:r>
      <w:r w:rsidRPr="00E27443">
        <w:rPr>
          <w:vertAlign w:val="subscript"/>
        </w:rPr>
        <w:t>2</w:t>
      </w:r>
      <w:r w:rsidRPr="00E27443">
        <w:t xml:space="preserve">, </w:t>
      </w:r>
      <w:r w:rsidRPr="00E27443">
        <w:rPr>
          <w:lang w:val="en-US"/>
        </w:rPr>
        <w:t>I</w:t>
      </w:r>
      <w:r w:rsidRPr="00E27443">
        <w:rPr>
          <w:vertAlign w:val="superscript"/>
        </w:rPr>
        <w:t>–</w:t>
      </w:r>
      <w:r w:rsidRPr="00E27443">
        <w:t xml:space="preserve">, </w:t>
      </w:r>
      <w:r w:rsidRPr="00E27443">
        <w:rPr>
          <w:lang w:val="en-US"/>
        </w:rPr>
        <w:t>I</w:t>
      </w:r>
      <w:r w:rsidRPr="00E27443">
        <w:rPr>
          <w:vertAlign w:val="subscript"/>
        </w:rPr>
        <w:t>3</w:t>
      </w:r>
      <w:r w:rsidRPr="00E27443">
        <w:rPr>
          <w:vertAlign w:val="superscript"/>
        </w:rPr>
        <w:t>–</w:t>
      </w:r>
      <w:r w:rsidRPr="00E27443">
        <w:t xml:space="preserve">, </w:t>
      </w:r>
      <w:r w:rsidRPr="00E27443">
        <w:rPr>
          <w:lang w:val="en-US"/>
        </w:rPr>
        <w:t>HIO</w:t>
      </w:r>
      <w:r w:rsidRPr="00E27443">
        <w:t xml:space="preserve">, </w:t>
      </w:r>
      <w:r w:rsidRPr="00E27443">
        <w:rPr>
          <w:lang w:val="en-US"/>
        </w:rPr>
        <w:t>IO</w:t>
      </w:r>
      <w:r w:rsidRPr="00E27443">
        <w:rPr>
          <w:vertAlign w:val="subscript"/>
        </w:rPr>
        <w:t>3</w:t>
      </w:r>
      <w:r w:rsidRPr="00E27443">
        <w:rPr>
          <w:vertAlign w:val="superscript"/>
        </w:rPr>
        <w:t>–</w:t>
      </w:r>
      <w:r w:rsidRPr="00E27443">
        <w:t xml:space="preserve"> и др. Одни из этих форм обладают повышенной, а другие – напротив, очень низкой летучестью. При этом равновесие между формами и кинетика перехода из одной формы в другую определяется, помимо температуры, такими факторами, как водородный показатель, концентрации растворенных реагентов систем безопасности, ионов металлов, кислорода, а также мощность дозы ионизирующего излучения присутствующих в растворе радионуклидов. Для корректного определения КР все эти факторы в рамках методики должны учитываться одновременно</w:t>
      </w:r>
      <w:r w:rsidRPr="00E27443">
        <w:rPr>
          <w:rFonts w:eastAsia="Batang"/>
          <w:lang w:eastAsia="ko-KR"/>
        </w:rPr>
        <w:t>.</w:t>
      </w:r>
    </w:p>
    <w:p w:rsidR="001036E9" w:rsidRPr="00E27443" w:rsidRDefault="001036E9" w:rsidP="001036E9">
      <w:pPr>
        <w:widowControl w:val="0"/>
        <w:ind w:firstLine="851"/>
        <w:jc w:val="both"/>
      </w:pPr>
      <w:r w:rsidRPr="00E27443">
        <w:rPr>
          <w:rFonts w:eastAsia="Batang"/>
          <w:lang w:eastAsia="ko-KR"/>
        </w:rPr>
        <w:t xml:space="preserve">Разработанная методика базируется на решении модельной </w:t>
      </w:r>
      <w:r w:rsidRPr="00E27443">
        <w:t>системы уравнений химической кинетики, записанной в следующем виде:</w:t>
      </w:r>
    </w:p>
    <w:p w:rsidR="001036E9" w:rsidRPr="00E27443" w:rsidRDefault="001036E9" w:rsidP="001036E9">
      <w:pPr>
        <w:jc w:val="center"/>
        <w:rPr>
          <w:szCs w:val="28"/>
        </w:rPr>
      </w:pPr>
      <w:r w:rsidRPr="00E27443">
        <w:rPr>
          <w:position w:val="-36"/>
          <w:szCs w:val="28"/>
        </w:rPr>
        <w:object w:dxaOrig="50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39.75pt" o:ole="" fillcolor="window">
            <v:imagedata r:id="rId8" o:title=""/>
          </v:shape>
          <o:OLEObject Type="Embed" ProgID="Equation.3" ShapeID="_x0000_i1025" DrawAspect="Content" ObjectID="_1686401337" r:id="rId9"/>
        </w:object>
      </w:r>
      <w:r w:rsidRPr="00E27443">
        <w:rPr>
          <w:szCs w:val="28"/>
        </w:rPr>
        <w:t>,</w:t>
      </w:r>
    </w:p>
    <w:p w:rsidR="001036E9" w:rsidRDefault="001036E9" w:rsidP="001036E9">
      <w:pPr>
        <w:jc w:val="both"/>
      </w:pPr>
      <w:r w:rsidRPr="00E27443">
        <w:rPr>
          <w:szCs w:val="28"/>
        </w:rPr>
        <w:t xml:space="preserve">где </w:t>
      </w:r>
      <w:proofErr w:type="spellStart"/>
      <w:r w:rsidRPr="00E27443">
        <w:rPr>
          <w:i/>
          <w:szCs w:val="28"/>
        </w:rPr>
        <w:t>С</w:t>
      </w:r>
      <w:r w:rsidRPr="00E27443">
        <w:rPr>
          <w:i/>
          <w:szCs w:val="28"/>
          <w:vertAlign w:val="subscript"/>
        </w:rPr>
        <w:t>i</w:t>
      </w:r>
      <w:proofErr w:type="spellEnd"/>
      <w:r w:rsidRPr="00E27443">
        <w:rPr>
          <w:szCs w:val="28"/>
        </w:rPr>
        <w:t xml:space="preserve"> – концентрация </w:t>
      </w:r>
      <w:r w:rsidRPr="00E27443">
        <w:rPr>
          <w:i/>
          <w:szCs w:val="28"/>
        </w:rPr>
        <w:t>i</w:t>
      </w:r>
      <w:r w:rsidRPr="00E27443">
        <w:rPr>
          <w:szCs w:val="28"/>
        </w:rPr>
        <w:t xml:space="preserve">-й частицы, </w:t>
      </w:r>
      <w:r w:rsidRPr="00E27443">
        <w:rPr>
          <w:i/>
          <w:szCs w:val="28"/>
        </w:rPr>
        <w:t>t</w:t>
      </w:r>
      <w:r w:rsidRPr="00E27443">
        <w:rPr>
          <w:szCs w:val="28"/>
        </w:rPr>
        <w:t xml:space="preserve"> – время, </w:t>
      </w:r>
      <w:r w:rsidRPr="00E27443">
        <w:rPr>
          <w:i/>
          <w:szCs w:val="28"/>
          <w:lang w:val="en-US"/>
        </w:rPr>
        <w:t>P</w:t>
      </w:r>
      <w:r w:rsidRPr="00E27443">
        <w:rPr>
          <w:i/>
          <w:szCs w:val="28"/>
        </w:rPr>
        <w:t xml:space="preserve"> </w:t>
      </w:r>
      <w:r w:rsidRPr="00E27443">
        <w:rPr>
          <w:szCs w:val="28"/>
        </w:rPr>
        <w:t xml:space="preserve">– мощность поглощенной дозы, </w:t>
      </w:r>
      <w:r w:rsidRPr="00E27443">
        <w:rPr>
          <w:i/>
          <w:szCs w:val="28"/>
        </w:rPr>
        <w:t>ρ</w:t>
      </w:r>
      <w:r w:rsidRPr="00E27443">
        <w:rPr>
          <w:szCs w:val="28"/>
        </w:rPr>
        <w:t xml:space="preserve"> – плотность раствора, </w:t>
      </w:r>
      <w:r w:rsidRPr="00E27443">
        <w:rPr>
          <w:i/>
          <w:lang w:val="en-US"/>
        </w:rPr>
        <w:t>G</w:t>
      </w:r>
      <w:r w:rsidRPr="00E27443">
        <w:rPr>
          <w:vertAlign w:val="subscript"/>
        </w:rPr>
        <w:t>0</w:t>
      </w:r>
      <w:proofErr w:type="spellStart"/>
      <w:r w:rsidRPr="00E27443">
        <w:rPr>
          <w:i/>
          <w:vertAlign w:val="subscript"/>
          <w:lang w:val="en-US"/>
        </w:rPr>
        <w:t>i</w:t>
      </w:r>
      <w:proofErr w:type="spellEnd"/>
      <w:r w:rsidRPr="00E27443">
        <w:t xml:space="preserve"> – первичный радиационно-химический выход образования (разложения) </w:t>
      </w:r>
      <w:r w:rsidRPr="00E27443">
        <w:rPr>
          <w:i/>
        </w:rPr>
        <w:t>i</w:t>
      </w:r>
      <w:r w:rsidRPr="00E27443">
        <w:t>-й частицы,</w:t>
      </w:r>
      <w:r w:rsidRPr="00E27443">
        <w:rPr>
          <w:szCs w:val="28"/>
        </w:rPr>
        <w:t xml:space="preserve"> </w:t>
      </w:r>
      <w:proofErr w:type="spellStart"/>
      <w:r w:rsidRPr="00E27443">
        <w:rPr>
          <w:i/>
          <w:szCs w:val="28"/>
        </w:rPr>
        <w:t>k</w:t>
      </w:r>
      <w:r w:rsidRPr="00E27443">
        <w:rPr>
          <w:i/>
          <w:szCs w:val="28"/>
          <w:vertAlign w:val="subscript"/>
        </w:rPr>
        <w:t>ij</w:t>
      </w:r>
      <w:proofErr w:type="spellEnd"/>
      <w:r w:rsidRPr="00E27443">
        <w:rPr>
          <w:szCs w:val="28"/>
        </w:rPr>
        <w:t xml:space="preserve"> – константа скорости бимолекулярной реакции между </w:t>
      </w:r>
      <w:r w:rsidRPr="00E27443">
        <w:rPr>
          <w:i/>
          <w:szCs w:val="28"/>
        </w:rPr>
        <w:t>i</w:t>
      </w:r>
      <w:r w:rsidRPr="00E27443">
        <w:rPr>
          <w:szCs w:val="28"/>
        </w:rPr>
        <w:t xml:space="preserve">-й и </w:t>
      </w:r>
      <w:r w:rsidRPr="00E27443">
        <w:rPr>
          <w:i/>
          <w:szCs w:val="28"/>
        </w:rPr>
        <w:t>j</w:t>
      </w:r>
      <w:r w:rsidRPr="00E27443">
        <w:rPr>
          <w:szCs w:val="28"/>
        </w:rPr>
        <w:t xml:space="preserve">-й частицами </w:t>
      </w:r>
      <w:r w:rsidRPr="00E27443">
        <w:rPr>
          <w:rFonts w:eastAsia="Batang"/>
          <w:lang w:eastAsia="ko-KR"/>
        </w:rPr>
        <w:t>[2]</w:t>
      </w:r>
      <w:r w:rsidRPr="00E27443">
        <w:rPr>
          <w:szCs w:val="28"/>
        </w:rPr>
        <w:t xml:space="preserve">, </w:t>
      </w:r>
      <w:proofErr w:type="spellStart"/>
      <w:r w:rsidRPr="00E27443">
        <w:rPr>
          <w:i/>
          <w:szCs w:val="28"/>
        </w:rPr>
        <w:t>δ</w:t>
      </w:r>
      <w:r w:rsidRPr="00E27443">
        <w:rPr>
          <w:i/>
          <w:szCs w:val="28"/>
          <w:vertAlign w:val="subscript"/>
        </w:rPr>
        <w:t>i</w:t>
      </w:r>
      <w:proofErr w:type="spellEnd"/>
      <w:r w:rsidRPr="00E27443">
        <w:rPr>
          <w:szCs w:val="28"/>
        </w:rPr>
        <w:t>(</w:t>
      </w:r>
      <w:r w:rsidRPr="00E27443">
        <w:rPr>
          <w:i/>
          <w:szCs w:val="28"/>
        </w:rPr>
        <w:t>m</w:t>
      </w:r>
      <w:r w:rsidRPr="00E27443">
        <w:rPr>
          <w:szCs w:val="28"/>
        </w:rPr>
        <w:t xml:space="preserve">, </w:t>
      </w:r>
      <w:r w:rsidRPr="00E27443">
        <w:rPr>
          <w:i/>
          <w:szCs w:val="28"/>
        </w:rPr>
        <w:t>n</w:t>
      </w:r>
      <w:r w:rsidRPr="00E27443">
        <w:rPr>
          <w:szCs w:val="28"/>
        </w:rPr>
        <w:t xml:space="preserve">) = 1, если в ходе реакции между </w:t>
      </w:r>
      <w:r w:rsidRPr="00E27443">
        <w:rPr>
          <w:i/>
          <w:szCs w:val="28"/>
        </w:rPr>
        <w:t>m</w:t>
      </w:r>
      <w:r w:rsidRPr="00E27443">
        <w:rPr>
          <w:szCs w:val="28"/>
        </w:rPr>
        <w:t xml:space="preserve">-й и </w:t>
      </w:r>
      <w:r w:rsidRPr="00E27443">
        <w:rPr>
          <w:i/>
          <w:szCs w:val="28"/>
        </w:rPr>
        <w:t>n</w:t>
      </w:r>
      <w:r w:rsidRPr="00E27443">
        <w:rPr>
          <w:szCs w:val="28"/>
        </w:rPr>
        <w:t xml:space="preserve">-й частицами в качестве продукта образуется </w:t>
      </w:r>
      <w:r w:rsidRPr="00E27443">
        <w:rPr>
          <w:i/>
          <w:szCs w:val="28"/>
        </w:rPr>
        <w:t>i</w:t>
      </w:r>
      <w:r w:rsidRPr="00E27443">
        <w:rPr>
          <w:szCs w:val="28"/>
        </w:rPr>
        <w:t>-я частица (и 0 в остальных случаях). Суммирование ведется по всем видам частиц, включая основные химические формы йода, воду и продукты ее радиолиза, а также промежуточные</w:t>
      </w:r>
      <w:r>
        <w:rPr>
          <w:szCs w:val="28"/>
        </w:rPr>
        <w:t xml:space="preserve"> активные частицы (радикалы и ион-радикалы); в результате система включает около 30 уравнений. Все реакции в описанной модели представляются как бимолекулярные.</w:t>
      </w:r>
      <w:r w:rsidRPr="00BF26EC">
        <w:t xml:space="preserve"> </w:t>
      </w:r>
      <w:r w:rsidRPr="00F6702D">
        <w:t xml:space="preserve">Пересчет значений </w:t>
      </w:r>
      <w:proofErr w:type="spellStart"/>
      <w:r w:rsidRPr="00232B4D">
        <w:rPr>
          <w:i/>
          <w:szCs w:val="28"/>
        </w:rPr>
        <w:t>k</w:t>
      </w:r>
      <w:r w:rsidRPr="00232B4D">
        <w:rPr>
          <w:i/>
          <w:szCs w:val="28"/>
          <w:vertAlign w:val="subscript"/>
        </w:rPr>
        <w:t>ij</w:t>
      </w:r>
      <w:proofErr w:type="spellEnd"/>
      <w:r w:rsidRPr="00BF26EC">
        <w:t xml:space="preserve"> </w:t>
      </w:r>
      <w:r w:rsidRPr="00F6702D">
        <w:t xml:space="preserve">на </w:t>
      </w:r>
      <w:r>
        <w:t>произвольную</w:t>
      </w:r>
      <w:r w:rsidRPr="00F6702D">
        <w:t xml:space="preserve"> температуру проводится с использованием уравнения Аррениуса. Если значение энергии активации для реакции отсутств</w:t>
      </w:r>
      <w:r>
        <w:t>ует</w:t>
      </w:r>
      <w:r w:rsidRPr="00F6702D">
        <w:t xml:space="preserve"> в баз</w:t>
      </w:r>
      <w:r>
        <w:t>ах</w:t>
      </w:r>
      <w:r w:rsidRPr="00F6702D">
        <w:t xml:space="preserve"> данных, оно принима</w:t>
      </w:r>
      <w:r>
        <w:t>ется</w:t>
      </w:r>
      <w:r w:rsidRPr="00F6702D">
        <w:t xml:space="preserve"> равным энергии активации </w:t>
      </w:r>
      <w:proofErr w:type="spellStart"/>
      <w:r w:rsidRPr="00F6702D">
        <w:t>самодиффузии</w:t>
      </w:r>
      <w:proofErr w:type="spellEnd"/>
      <w:r w:rsidRPr="00F6702D">
        <w:t xml:space="preserve"> воды: 12</w:t>
      </w:r>
      <w:r>
        <w:t>,</w:t>
      </w:r>
      <w:r w:rsidRPr="00F6702D">
        <w:t>6 кДж/моль.</w:t>
      </w:r>
      <w:r>
        <w:t xml:space="preserve"> Мощность дозы излучения рассчитывается по текущей активности ПД в растворе в приближении полного поглощения β-частиц и частичного поглощения энергии γ-квантов. </w:t>
      </w:r>
    </w:p>
    <w:p w:rsidR="001036E9" w:rsidRPr="00105919" w:rsidRDefault="001036E9" w:rsidP="001036E9">
      <w:pPr>
        <w:widowControl w:val="0"/>
        <w:ind w:firstLine="851"/>
        <w:jc w:val="both"/>
      </w:pPr>
      <w:r w:rsidRPr="00F6702D">
        <w:t xml:space="preserve">Решение жесткой нелинейной системы </w:t>
      </w:r>
      <w:r>
        <w:t>дифференциальных уравнений</w:t>
      </w:r>
      <w:r w:rsidRPr="00F6702D">
        <w:t xml:space="preserve"> </w:t>
      </w:r>
      <w:r>
        <w:t>ищется</w:t>
      </w:r>
      <w:r w:rsidRPr="00F6702D">
        <w:t xml:space="preserve"> методом</w:t>
      </w:r>
      <w:r>
        <w:t xml:space="preserve"> формул дифференцирования назад. Проведенные тестовые расчеты по определению концентраций химических форм йода в большинстве случаев показывают хорошее согласие с экспериментальными данными литературы. Таким образом, разработанная методика может служить для уточнения значений КР йода, использующихся в</w:t>
      </w:r>
      <w:r w:rsidRPr="00E037EE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ПС </w:t>
      </w:r>
      <w:r>
        <w:t>«</w:t>
      </w:r>
      <w:r>
        <w:rPr>
          <w:lang w:val="en-US"/>
        </w:rPr>
        <w:t>LEAK</w:t>
      </w:r>
      <w:r w:rsidRPr="00C01C2E">
        <w:t>3</w:t>
      </w:r>
      <w:r>
        <w:t xml:space="preserve">».     </w:t>
      </w:r>
    </w:p>
    <w:p w:rsidR="001036E9" w:rsidRPr="00EB416B" w:rsidRDefault="001036E9" w:rsidP="001036E9">
      <w:pPr>
        <w:spacing w:before="240" w:after="120"/>
        <w:jc w:val="center"/>
      </w:pPr>
      <w:r w:rsidRPr="00EB416B">
        <w:rPr>
          <w:b/>
        </w:rPr>
        <w:t>ЛИТЕРАТУРА</w:t>
      </w:r>
    </w:p>
    <w:p w:rsidR="001036E9" w:rsidRPr="001036E9" w:rsidRDefault="001036E9" w:rsidP="00E27443">
      <w:pPr>
        <w:numPr>
          <w:ilvl w:val="0"/>
          <w:numId w:val="22"/>
        </w:numPr>
        <w:ind w:left="284" w:hanging="284"/>
        <w:jc w:val="both"/>
        <w:rPr>
          <w:bCs/>
        </w:rPr>
      </w:pPr>
      <w:r w:rsidRPr="000C71DB">
        <w:t xml:space="preserve">Программа LEAK3. Федеральный надзор России по ядерной и радиационной безопасности. </w:t>
      </w:r>
      <w:r>
        <w:t>НТЦ ЯРБ</w:t>
      </w:r>
      <w:r w:rsidRPr="000C71DB">
        <w:t xml:space="preserve"> Аттестационный паспорт программного средства. Регистрационный номер 118 от 02.03.2000 г.</w:t>
      </w:r>
    </w:p>
    <w:p w:rsidR="001036E9" w:rsidRPr="00F74B7D" w:rsidRDefault="00CE4E59" w:rsidP="00E27443">
      <w:pPr>
        <w:numPr>
          <w:ilvl w:val="0"/>
          <w:numId w:val="22"/>
        </w:numPr>
        <w:ind w:left="284" w:hanging="284"/>
        <w:jc w:val="both"/>
        <w:rPr>
          <w:bCs/>
          <w:lang w:val="en-US"/>
        </w:rPr>
      </w:pPr>
      <w:hyperlink r:id="rId10" w:history="1">
        <w:r w:rsidR="001036E9" w:rsidRPr="00F74B7D">
          <w:rPr>
            <w:rStyle w:val="ae"/>
            <w:color w:val="auto"/>
            <w:u w:val="none"/>
          </w:rPr>
          <w:t>http://kinetics.nist.gov/solution</w:t>
        </w:r>
      </w:hyperlink>
    </w:p>
    <w:p w:rsidR="006F1743" w:rsidRPr="001036E9" w:rsidRDefault="006F1743" w:rsidP="001036E9"/>
    <w:sectPr w:rsidR="006F1743" w:rsidRPr="001036E9" w:rsidSect="00930400">
      <w:headerReference w:type="even" r:id="rId11"/>
      <w:headerReference w:type="first" r:id="rId12"/>
      <w:pgSz w:w="11906" w:h="16838"/>
      <w:pgMar w:top="1134" w:right="851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59" w:rsidRDefault="00CE4E59">
      <w:r>
        <w:separator/>
      </w:r>
    </w:p>
  </w:endnote>
  <w:endnote w:type="continuationSeparator" w:id="0">
    <w:p w:rsidR="00CE4E59" w:rsidRDefault="00C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59" w:rsidRDefault="00CE4E59">
      <w:r>
        <w:separator/>
      </w:r>
    </w:p>
  </w:footnote>
  <w:footnote w:type="continuationSeparator" w:id="0">
    <w:p w:rsidR="00CE4E59" w:rsidRDefault="00CE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CE4E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0" w:rsidRPr="00930400" w:rsidRDefault="00930400" w:rsidP="0093040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17D47"/>
    <w:rsid w:val="000552F4"/>
    <w:rsid w:val="00057181"/>
    <w:rsid w:val="00065F84"/>
    <w:rsid w:val="00070978"/>
    <w:rsid w:val="0008501F"/>
    <w:rsid w:val="001036E9"/>
    <w:rsid w:val="001071E4"/>
    <w:rsid w:val="00110F28"/>
    <w:rsid w:val="00114877"/>
    <w:rsid w:val="00132235"/>
    <w:rsid w:val="00133FCD"/>
    <w:rsid w:val="00140DFC"/>
    <w:rsid w:val="00155CDD"/>
    <w:rsid w:val="00157CA9"/>
    <w:rsid w:val="00182443"/>
    <w:rsid w:val="0018666D"/>
    <w:rsid w:val="001A31C2"/>
    <w:rsid w:val="001D511D"/>
    <w:rsid w:val="001F50DC"/>
    <w:rsid w:val="0020246B"/>
    <w:rsid w:val="00227E33"/>
    <w:rsid w:val="00251610"/>
    <w:rsid w:val="002535C1"/>
    <w:rsid w:val="00291B1C"/>
    <w:rsid w:val="002C069D"/>
    <w:rsid w:val="002D099F"/>
    <w:rsid w:val="002E4F48"/>
    <w:rsid w:val="003413AA"/>
    <w:rsid w:val="00352419"/>
    <w:rsid w:val="003614C2"/>
    <w:rsid w:val="003730DD"/>
    <w:rsid w:val="003836BC"/>
    <w:rsid w:val="003B4608"/>
    <w:rsid w:val="003F4B6A"/>
    <w:rsid w:val="004155C9"/>
    <w:rsid w:val="004176FD"/>
    <w:rsid w:val="00417FC3"/>
    <w:rsid w:val="00427CDF"/>
    <w:rsid w:val="00430B1C"/>
    <w:rsid w:val="00447884"/>
    <w:rsid w:val="00455069"/>
    <w:rsid w:val="0047263C"/>
    <w:rsid w:val="00484197"/>
    <w:rsid w:val="0049544C"/>
    <w:rsid w:val="004A17D9"/>
    <w:rsid w:val="004B4C12"/>
    <w:rsid w:val="004E4378"/>
    <w:rsid w:val="00511B94"/>
    <w:rsid w:val="005137CF"/>
    <w:rsid w:val="00515720"/>
    <w:rsid w:val="00522DE9"/>
    <w:rsid w:val="00527721"/>
    <w:rsid w:val="00534E80"/>
    <w:rsid w:val="005510CD"/>
    <w:rsid w:val="005E3F95"/>
    <w:rsid w:val="005E4273"/>
    <w:rsid w:val="005F22E9"/>
    <w:rsid w:val="005F7D89"/>
    <w:rsid w:val="00604058"/>
    <w:rsid w:val="00614271"/>
    <w:rsid w:val="006238F4"/>
    <w:rsid w:val="00637CE8"/>
    <w:rsid w:val="006828AB"/>
    <w:rsid w:val="006D16FE"/>
    <w:rsid w:val="006D458B"/>
    <w:rsid w:val="006F1743"/>
    <w:rsid w:val="0071344D"/>
    <w:rsid w:val="007757C1"/>
    <w:rsid w:val="00780382"/>
    <w:rsid w:val="00793A99"/>
    <w:rsid w:val="007D4ABA"/>
    <w:rsid w:val="007E6EA1"/>
    <w:rsid w:val="00816996"/>
    <w:rsid w:val="00833F86"/>
    <w:rsid w:val="008355FE"/>
    <w:rsid w:val="008426A4"/>
    <w:rsid w:val="008877E7"/>
    <w:rsid w:val="008C07F9"/>
    <w:rsid w:val="008C1E37"/>
    <w:rsid w:val="008E0462"/>
    <w:rsid w:val="008E50BE"/>
    <w:rsid w:val="00930400"/>
    <w:rsid w:val="00996613"/>
    <w:rsid w:val="009D2ED8"/>
    <w:rsid w:val="009D425A"/>
    <w:rsid w:val="009E1743"/>
    <w:rsid w:val="009E7A02"/>
    <w:rsid w:val="00A46D54"/>
    <w:rsid w:val="00A65330"/>
    <w:rsid w:val="00A7395B"/>
    <w:rsid w:val="00A8316E"/>
    <w:rsid w:val="00A96917"/>
    <w:rsid w:val="00AA56BA"/>
    <w:rsid w:val="00AB3DCF"/>
    <w:rsid w:val="00AE590F"/>
    <w:rsid w:val="00AE732B"/>
    <w:rsid w:val="00AF708E"/>
    <w:rsid w:val="00B04CA7"/>
    <w:rsid w:val="00B10B09"/>
    <w:rsid w:val="00B505EA"/>
    <w:rsid w:val="00B61AA2"/>
    <w:rsid w:val="00B625A9"/>
    <w:rsid w:val="00BB379F"/>
    <w:rsid w:val="00BC2668"/>
    <w:rsid w:val="00BD0872"/>
    <w:rsid w:val="00BE3DA2"/>
    <w:rsid w:val="00C00CC4"/>
    <w:rsid w:val="00C83773"/>
    <w:rsid w:val="00C9419D"/>
    <w:rsid w:val="00C95CDC"/>
    <w:rsid w:val="00CC210D"/>
    <w:rsid w:val="00CD7E81"/>
    <w:rsid w:val="00CE4E59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27443"/>
    <w:rsid w:val="00E516BE"/>
    <w:rsid w:val="00E53500"/>
    <w:rsid w:val="00E66D36"/>
    <w:rsid w:val="00E67815"/>
    <w:rsid w:val="00ED5DDF"/>
    <w:rsid w:val="00F0084B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F45B51-DC0A-4A3F-BF88-102DAF8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1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1036E9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inetics.nist.gov/solutio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795D-5C83-461F-BF8C-ACE7E88F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Хорошилова</cp:lastModifiedBy>
  <cp:revision>20</cp:revision>
  <cp:lastPrinted>2021-04-12T12:08:00Z</cp:lastPrinted>
  <dcterms:created xsi:type="dcterms:W3CDTF">2021-04-27T12:44:00Z</dcterms:created>
  <dcterms:modified xsi:type="dcterms:W3CDTF">2021-06-28T13:03:00Z</dcterms:modified>
</cp:coreProperties>
</file>