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C0" w:rsidRDefault="00CE12C0" w:rsidP="000E6575">
      <w:pPr>
        <w:pStyle w:val="125"/>
        <w:ind w:firstLine="680"/>
        <w:rPr>
          <w:kern w:val="32"/>
          <w:u w:val="single"/>
        </w:rPr>
      </w:pPr>
      <w:bookmarkStart w:id="0" w:name="_Toc65243663"/>
      <w:bookmarkStart w:id="1" w:name="_Toc65252672"/>
      <w:bookmarkStart w:id="2" w:name="_Toc82003675"/>
      <w:r w:rsidRPr="00CE12C0">
        <w:rPr>
          <w:kern w:val="32"/>
          <w:u w:val="single"/>
        </w:rPr>
        <w:t>DIGITAL DECOMMISSIONING - ЦИФРОВАЯ ПЛАТФОРМА ПЛАНИРОВАНИЯ, ПРОЕКТИРОВАНИЯ И ПОДГОТОВКИ ПЕРСОНАЛА ПРИ ВЭ ОИАЭ</w:t>
      </w:r>
    </w:p>
    <w:p w:rsidR="000E6575" w:rsidRDefault="000E6575" w:rsidP="000E6575">
      <w:pPr>
        <w:pStyle w:val="125"/>
        <w:ind w:firstLine="680"/>
      </w:pPr>
      <w:r>
        <w:t xml:space="preserve">Платформа </w:t>
      </w:r>
      <w:r>
        <w:rPr>
          <w:lang w:val="en-US"/>
        </w:rPr>
        <w:t>Digital</w:t>
      </w:r>
      <w:r w:rsidRPr="00B826BB">
        <w:t xml:space="preserve"> </w:t>
      </w:r>
      <w:r>
        <w:rPr>
          <w:lang w:val="en-US"/>
        </w:rPr>
        <w:t>Decommissioning</w:t>
      </w:r>
      <w:r w:rsidRPr="00B826BB">
        <w:t xml:space="preserve"> </w:t>
      </w:r>
      <w:r>
        <w:t xml:space="preserve">создана как результат интеграции более чем 15-летнего опыта работы в сфере ВЭ ОИАЭ, в частности, в области применения цифровых технологий для решения инженерных задач сферы ВЭ с возможностями базовых программных продуктов управления инженерными данными, разрабатываемых группой компаний «НЕОЛАНТ». Непосредственно первоначальная разработка платформы </w:t>
      </w:r>
      <w:r>
        <w:rPr>
          <w:lang w:val="en-US"/>
        </w:rPr>
        <w:t>Digital</w:t>
      </w:r>
      <w:r w:rsidRPr="00B826BB">
        <w:t xml:space="preserve"> </w:t>
      </w:r>
      <w:r>
        <w:rPr>
          <w:lang w:val="en-US"/>
        </w:rPr>
        <w:t>Decommissioning</w:t>
      </w:r>
      <w:r w:rsidRPr="00424D5E">
        <w:t xml:space="preserve"> была осуществлена в рамках субсидии, выделяемой согласно Постановлению 218 Правительства РФ Министерством образования и науки, право на получение конторой в 2017 году по конкурсу выиграла компания «НЕОЛАНТ» в партнерстве с Национальным исследовательским Томским политехническим университетом (ФГАОУ ВО НИ ТПУ)</w:t>
      </w:r>
      <w:r>
        <w:t xml:space="preserve">. В рамках первоначальной разработки платформы </w:t>
      </w:r>
      <w:r>
        <w:rPr>
          <w:lang w:val="en-US"/>
        </w:rPr>
        <w:t>Digital</w:t>
      </w:r>
      <w:r w:rsidRPr="008422D4">
        <w:t xml:space="preserve"> </w:t>
      </w:r>
      <w:r>
        <w:rPr>
          <w:lang w:val="en-US"/>
        </w:rPr>
        <w:t>Decommissioning</w:t>
      </w:r>
      <w:r w:rsidRPr="008422D4">
        <w:t xml:space="preserve"> </w:t>
      </w:r>
      <w:r>
        <w:t>был проведен анализ требований нормативных и руководящих документов, рекомендаций МАГАТЭ, на основе которого были разработаны требования к цифровой платформе поддержке этапов заключительной стадии жизненного цикла энергоблоков АЭС.</w:t>
      </w:r>
    </w:p>
    <w:p w:rsidR="000E6575" w:rsidRPr="0004541B" w:rsidRDefault="000E6575" w:rsidP="000E6575">
      <w:pPr>
        <w:pStyle w:val="125"/>
        <w:ind w:firstLine="680"/>
      </w:pPr>
      <w:r>
        <w:t xml:space="preserve">В данном </w:t>
      </w:r>
      <w:r w:rsidR="005C11B7" w:rsidRPr="005C11B7">
        <w:t>докладе</w:t>
      </w:r>
      <w:r>
        <w:t xml:space="preserve"> дается описание состава и основных характеристик текущего набора модулей платформы </w:t>
      </w:r>
      <w:r>
        <w:rPr>
          <w:lang w:val="en-US"/>
        </w:rPr>
        <w:t>Digital</w:t>
      </w:r>
      <w:r w:rsidRPr="008422D4">
        <w:t xml:space="preserve"> </w:t>
      </w:r>
      <w:r>
        <w:rPr>
          <w:lang w:val="en-US"/>
        </w:rPr>
        <w:t>Decommissioning</w:t>
      </w:r>
      <w:r w:rsidRPr="008422D4">
        <w:t xml:space="preserve">. </w:t>
      </w:r>
      <w:r>
        <w:t xml:space="preserve">Необходимо отметить, что программное обеспечение </w:t>
      </w:r>
      <w:r>
        <w:rPr>
          <w:lang w:val="en-US"/>
        </w:rPr>
        <w:t>Digital</w:t>
      </w:r>
      <w:r w:rsidRPr="008422D4">
        <w:t xml:space="preserve"> </w:t>
      </w:r>
      <w:r>
        <w:rPr>
          <w:lang w:val="en-US"/>
        </w:rPr>
        <w:t>Decommissioning</w:t>
      </w:r>
      <w:r>
        <w:t xml:space="preserve"> продолжает активное развитие</w:t>
      </w:r>
      <w:r w:rsidRPr="008422D4">
        <w:t xml:space="preserve">: </w:t>
      </w:r>
      <w:r>
        <w:t xml:space="preserve">практическое выполнение проектов с его применением позволяет формировать богатую основу для совершенствования и расширения платформы. На этот момент цифровая платформа </w:t>
      </w:r>
      <w:r>
        <w:rPr>
          <w:lang w:val="en-US"/>
        </w:rPr>
        <w:t>Digital</w:t>
      </w:r>
      <w:r w:rsidRPr="0004541B">
        <w:t xml:space="preserve"> </w:t>
      </w:r>
      <w:r>
        <w:rPr>
          <w:lang w:val="en-US"/>
        </w:rPr>
        <w:t>Decommissioning</w:t>
      </w:r>
      <w:r w:rsidRPr="0004541B">
        <w:t xml:space="preserve"> </w:t>
      </w:r>
      <w:r>
        <w:t>включает 6 модулей</w:t>
      </w:r>
      <w:r w:rsidRPr="0004541B">
        <w:t>:</w:t>
      </w:r>
    </w:p>
    <w:p w:rsidR="000E6575" w:rsidRPr="0004541B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04541B">
        <w:rPr>
          <w:sz w:val="24"/>
        </w:rPr>
        <w:t>«Цифровая информационная модель»</w:t>
      </w:r>
      <w:r>
        <w:rPr>
          <w:sz w:val="24"/>
          <w:lang w:val="en-US"/>
        </w:rPr>
        <w:t>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«КИРО».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«Мобильный клиент КИРО».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«Радиационные расчеты».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«Проектирование ВЭ».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>
        <w:rPr>
          <w:sz w:val="24"/>
        </w:rPr>
        <w:t>«Банк данных для проектирования ВЭ».</w:t>
      </w:r>
    </w:p>
    <w:p w:rsidR="000E6575" w:rsidRPr="00561FEA" w:rsidRDefault="000E6575" w:rsidP="000E6575">
      <w:pPr>
        <w:pStyle w:val="125"/>
        <w:ind w:firstLine="680"/>
      </w:pPr>
      <w:r>
        <w:t>На различных этапах создания находятся еще шесть модулей</w:t>
      </w:r>
      <w:r w:rsidRPr="00561FEA">
        <w:t>:</w:t>
      </w:r>
    </w:p>
    <w:p w:rsidR="000E6575" w:rsidRPr="00561FEA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«Локальная концепция ВЭ».</w:t>
      </w:r>
    </w:p>
    <w:p w:rsidR="000E6575" w:rsidRPr="00561FEA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«Подготовка персонала».</w:t>
      </w:r>
    </w:p>
    <w:p w:rsidR="000E6575" w:rsidRPr="00561FEA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«Практические работы».</w:t>
      </w:r>
    </w:p>
    <w:p w:rsidR="000E6575" w:rsidRPr="00561FEA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«Мобильный клиент для практических работ».</w:t>
      </w:r>
    </w:p>
    <w:p w:rsidR="000E6575" w:rsidRPr="00561FEA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«Имитационное моделирование».</w:t>
      </w:r>
    </w:p>
    <w:p w:rsidR="000E6575" w:rsidRDefault="000E6575" w:rsidP="000E6575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561FEA">
        <w:rPr>
          <w:sz w:val="24"/>
        </w:rPr>
        <w:t>«Опыт ВЭ».</w:t>
      </w:r>
    </w:p>
    <w:p w:rsidR="00FE6F1F" w:rsidRPr="00FE6F1F" w:rsidRDefault="00FE6F1F" w:rsidP="00FE6F1F">
      <w:pPr>
        <w:pStyle w:val="125"/>
        <w:ind w:firstLine="680"/>
      </w:pPr>
      <w:r w:rsidRPr="00FE6F1F">
        <w:t xml:space="preserve">Платформа </w:t>
      </w:r>
      <w:proofErr w:type="spellStart"/>
      <w:r w:rsidRPr="00FE6F1F">
        <w:t>Digital</w:t>
      </w:r>
      <w:proofErr w:type="spellEnd"/>
      <w:r w:rsidRPr="00FE6F1F">
        <w:t xml:space="preserve"> </w:t>
      </w:r>
      <w:proofErr w:type="spellStart"/>
      <w:r w:rsidRPr="00FE6F1F">
        <w:t>Decommissioning</w:t>
      </w:r>
      <w:proofErr w:type="spellEnd"/>
      <w:r w:rsidRPr="00FE6F1F">
        <w:t xml:space="preserve"> применена при разработке проекта вывода из эксплуатации 1-4 энергоблоков АЭС «</w:t>
      </w:r>
      <w:proofErr w:type="spellStart"/>
      <w:r w:rsidRPr="00FE6F1F">
        <w:t>Козлодуй</w:t>
      </w:r>
      <w:proofErr w:type="spellEnd"/>
      <w:r w:rsidRPr="00FE6F1F">
        <w:t xml:space="preserve">» (Республика Болгария). В настоящее время на разработанную на базе цифровой модели в формате </w:t>
      </w:r>
      <w:proofErr w:type="spellStart"/>
      <w:r w:rsidRPr="00FE6F1F">
        <w:t>Digital</w:t>
      </w:r>
      <w:proofErr w:type="spellEnd"/>
      <w:r w:rsidRPr="00FE6F1F">
        <w:t xml:space="preserve"> </w:t>
      </w:r>
      <w:proofErr w:type="spellStart"/>
      <w:r w:rsidRPr="00FE6F1F">
        <w:t>Decommissioning</w:t>
      </w:r>
      <w:proofErr w:type="spellEnd"/>
      <w:r w:rsidRPr="00FE6F1F">
        <w:t xml:space="preserve"> проектную документацию получено положительное заключение европейского регулятора в области использования атомной энергии. Цифровые решения «НЕОЛАНТ» в области ВЭ приведены в рекомендациях МАГАТЭ в качестве передового опыта - </w:t>
      </w:r>
      <w:proofErr w:type="spellStart"/>
      <w:r w:rsidRPr="00FE6F1F">
        <w:t>Application</w:t>
      </w:r>
      <w:proofErr w:type="spellEnd"/>
      <w:r w:rsidRPr="00FE6F1F">
        <w:t xml:space="preserve"> </w:t>
      </w:r>
      <w:proofErr w:type="spellStart"/>
      <w:r w:rsidRPr="00FE6F1F">
        <w:t>of</w:t>
      </w:r>
      <w:proofErr w:type="spellEnd"/>
      <w:r w:rsidRPr="00FE6F1F">
        <w:t xml:space="preserve"> </w:t>
      </w:r>
      <w:proofErr w:type="spellStart"/>
      <w:r w:rsidRPr="00FE6F1F">
        <w:t>Plant</w:t>
      </w:r>
      <w:proofErr w:type="spellEnd"/>
      <w:r w:rsidRPr="00FE6F1F">
        <w:t xml:space="preserve"> </w:t>
      </w:r>
      <w:proofErr w:type="spellStart"/>
      <w:r w:rsidRPr="00FE6F1F">
        <w:t>Information</w:t>
      </w:r>
      <w:proofErr w:type="spellEnd"/>
      <w:r w:rsidRPr="00FE6F1F">
        <w:t xml:space="preserve"> </w:t>
      </w:r>
      <w:proofErr w:type="spellStart"/>
      <w:r w:rsidRPr="00FE6F1F">
        <w:t>Models</w:t>
      </w:r>
      <w:proofErr w:type="spellEnd"/>
      <w:r w:rsidRPr="00FE6F1F">
        <w:t xml:space="preserve"> </w:t>
      </w:r>
      <w:proofErr w:type="spellStart"/>
      <w:r w:rsidRPr="00FE6F1F">
        <w:t>to</w:t>
      </w:r>
      <w:proofErr w:type="spellEnd"/>
      <w:r w:rsidRPr="00FE6F1F">
        <w:t xml:space="preserve"> </w:t>
      </w:r>
      <w:proofErr w:type="spellStart"/>
      <w:r w:rsidRPr="00FE6F1F">
        <w:t>Manage</w:t>
      </w:r>
      <w:proofErr w:type="spellEnd"/>
      <w:r w:rsidRPr="00FE6F1F">
        <w:t xml:space="preserve"> </w:t>
      </w:r>
      <w:proofErr w:type="spellStart"/>
      <w:r w:rsidRPr="00FE6F1F">
        <w:t>Design</w:t>
      </w:r>
      <w:proofErr w:type="spellEnd"/>
      <w:r w:rsidRPr="00FE6F1F">
        <w:t xml:space="preserve"> </w:t>
      </w:r>
      <w:proofErr w:type="spellStart"/>
      <w:r w:rsidRPr="00FE6F1F">
        <w:t>Knowledge</w:t>
      </w:r>
      <w:proofErr w:type="spellEnd"/>
      <w:r w:rsidRPr="00FE6F1F">
        <w:t xml:space="preserve"> </w:t>
      </w:r>
      <w:proofErr w:type="spellStart"/>
      <w:r w:rsidRPr="00FE6F1F">
        <w:t>through</w:t>
      </w:r>
      <w:proofErr w:type="spellEnd"/>
      <w:r w:rsidRPr="00FE6F1F">
        <w:t xml:space="preserve"> </w:t>
      </w:r>
      <w:proofErr w:type="spellStart"/>
      <w:r w:rsidRPr="00FE6F1F">
        <w:t>the</w:t>
      </w:r>
      <w:proofErr w:type="spellEnd"/>
      <w:r w:rsidRPr="00FE6F1F">
        <w:t xml:space="preserve"> </w:t>
      </w:r>
      <w:proofErr w:type="spellStart"/>
      <w:r w:rsidRPr="00FE6F1F">
        <w:t>Nuclear</w:t>
      </w:r>
      <w:proofErr w:type="spellEnd"/>
      <w:r w:rsidRPr="00FE6F1F">
        <w:t xml:space="preserve"> </w:t>
      </w:r>
      <w:proofErr w:type="spellStart"/>
      <w:r w:rsidRPr="00FE6F1F">
        <w:t>Power</w:t>
      </w:r>
      <w:proofErr w:type="spellEnd"/>
      <w:r w:rsidRPr="00FE6F1F">
        <w:t xml:space="preserve"> </w:t>
      </w:r>
      <w:proofErr w:type="spellStart"/>
      <w:r w:rsidRPr="00FE6F1F">
        <w:t>Plant</w:t>
      </w:r>
      <w:proofErr w:type="spellEnd"/>
      <w:r w:rsidRPr="00FE6F1F">
        <w:t xml:space="preserve"> </w:t>
      </w:r>
      <w:proofErr w:type="spellStart"/>
      <w:r w:rsidRPr="00FE6F1F">
        <w:t>Life</w:t>
      </w:r>
      <w:proofErr w:type="spellEnd"/>
      <w:r w:rsidRPr="00FE6F1F">
        <w:t xml:space="preserve"> </w:t>
      </w:r>
      <w:proofErr w:type="spellStart"/>
      <w:r w:rsidRPr="00FE6F1F">
        <w:t>Cycle</w:t>
      </w:r>
      <w:proofErr w:type="spellEnd"/>
      <w:r w:rsidRPr="00FE6F1F">
        <w:t xml:space="preserve">, </w:t>
      </w:r>
      <w:proofErr w:type="spellStart"/>
      <w:r w:rsidRPr="00FE6F1F">
        <w:t>Application</w:t>
      </w:r>
      <w:proofErr w:type="spellEnd"/>
      <w:r w:rsidRPr="00FE6F1F">
        <w:t xml:space="preserve"> </w:t>
      </w:r>
      <w:proofErr w:type="spellStart"/>
      <w:r w:rsidRPr="00FE6F1F">
        <w:t>of</w:t>
      </w:r>
      <w:proofErr w:type="spellEnd"/>
      <w:r w:rsidRPr="00FE6F1F">
        <w:t xml:space="preserve"> </w:t>
      </w:r>
      <w:proofErr w:type="spellStart"/>
      <w:r w:rsidRPr="00FE6F1F">
        <w:t>Plant</w:t>
      </w:r>
      <w:proofErr w:type="spellEnd"/>
      <w:r w:rsidRPr="00FE6F1F">
        <w:t xml:space="preserve"> </w:t>
      </w:r>
      <w:proofErr w:type="spellStart"/>
      <w:r w:rsidRPr="00FE6F1F">
        <w:t>Information</w:t>
      </w:r>
      <w:proofErr w:type="spellEnd"/>
      <w:r w:rsidRPr="00FE6F1F">
        <w:t xml:space="preserve"> </w:t>
      </w:r>
      <w:proofErr w:type="spellStart"/>
      <w:r w:rsidRPr="00FE6F1F">
        <w:t>Models</w:t>
      </w:r>
      <w:proofErr w:type="spellEnd"/>
      <w:r w:rsidRPr="00FE6F1F">
        <w:t xml:space="preserve"> </w:t>
      </w:r>
      <w:proofErr w:type="spellStart"/>
      <w:r w:rsidRPr="00FE6F1F">
        <w:t>to</w:t>
      </w:r>
      <w:proofErr w:type="spellEnd"/>
      <w:r w:rsidRPr="00FE6F1F">
        <w:t xml:space="preserve"> </w:t>
      </w:r>
      <w:proofErr w:type="spellStart"/>
      <w:r w:rsidRPr="00FE6F1F">
        <w:t>Manage</w:t>
      </w:r>
      <w:proofErr w:type="spellEnd"/>
      <w:r w:rsidRPr="00FE6F1F">
        <w:t xml:space="preserve"> </w:t>
      </w:r>
      <w:proofErr w:type="spellStart"/>
      <w:r w:rsidRPr="00FE6F1F">
        <w:t>Design</w:t>
      </w:r>
      <w:proofErr w:type="spellEnd"/>
      <w:r w:rsidRPr="00FE6F1F">
        <w:t xml:space="preserve"> </w:t>
      </w:r>
      <w:proofErr w:type="spellStart"/>
      <w:r w:rsidRPr="00FE6F1F">
        <w:t>Knowledge</w:t>
      </w:r>
      <w:proofErr w:type="spellEnd"/>
      <w:r w:rsidRPr="00FE6F1F">
        <w:t xml:space="preserve"> </w:t>
      </w:r>
      <w:proofErr w:type="spellStart"/>
      <w:r w:rsidRPr="00FE6F1F">
        <w:t>through</w:t>
      </w:r>
      <w:proofErr w:type="spellEnd"/>
      <w:r w:rsidRPr="00FE6F1F">
        <w:t xml:space="preserve"> </w:t>
      </w:r>
      <w:proofErr w:type="spellStart"/>
      <w:r w:rsidRPr="00FE6F1F">
        <w:t>the</w:t>
      </w:r>
      <w:proofErr w:type="spellEnd"/>
      <w:r w:rsidRPr="00FE6F1F">
        <w:t xml:space="preserve"> </w:t>
      </w:r>
      <w:proofErr w:type="spellStart"/>
      <w:r w:rsidRPr="00FE6F1F">
        <w:t>Nuclear</w:t>
      </w:r>
      <w:proofErr w:type="spellEnd"/>
      <w:r w:rsidRPr="00FE6F1F">
        <w:t xml:space="preserve"> </w:t>
      </w:r>
      <w:proofErr w:type="spellStart"/>
      <w:r w:rsidRPr="00FE6F1F">
        <w:t>Power</w:t>
      </w:r>
      <w:proofErr w:type="spellEnd"/>
      <w:r w:rsidRPr="00FE6F1F">
        <w:t xml:space="preserve"> </w:t>
      </w:r>
      <w:proofErr w:type="spellStart"/>
      <w:r w:rsidRPr="00FE6F1F">
        <w:t>Plant</w:t>
      </w:r>
      <w:proofErr w:type="spellEnd"/>
      <w:r w:rsidRPr="00FE6F1F">
        <w:t xml:space="preserve"> </w:t>
      </w:r>
      <w:proofErr w:type="spellStart"/>
      <w:r w:rsidRPr="00FE6F1F">
        <w:t>Life</w:t>
      </w:r>
      <w:proofErr w:type="spellEnd"/>
      <w:r w:rsidRPr="00FE6F1F">
        <w:t xml:space="preserve"> </w:t>
      </w:r>
      <w:proofErr w:type="spellStart"/>
      <w:r w:rsidRPr="00FE6F1F">
        <w:t>Cycle</w:t>
      </w:r>
      <w:proofErr w:type="spellEnd"/>
      <w:r w:rsidRPr="00FE6F1F">
        <w:t xml:space="preserve"> (IAEA-TECDOC-1919, IAEA, 2020). Цифровые решения «НЕОЛАНТ» в области вывода из эксплуатации объектов использования атомной энергии отмечены как лучшая практика </w:t>
      </w:r>
      <w:proofErr w:type="spellStart"/>
      <w:r w:rsidRPr="00FE6F1F">
        <w:t>Committee</w:t>
      </w:r>
      <w:proofErr w:type="spellEnd"/>
      <w:r w:rsidRPr="00FE6F1F">
        <w:t xml:space="preserve"> </w:t>
      </w:r>
      <w:proofErr w:type="spellStart"/>
      <w:r w:rsidRPr="00FE6F1F">
        <w:t>on</w:t>
      </w:r>
      <w:proofErr w:type="spellEnd"/>
      <w:r w:rsidRPr="00FE6F1F">
        <w:t xml:space="preserve"> </w:t>
      </w:r>
      <w:proofErr w:type="spellStart"/>
      <w:r w:rsidRPr="00FE6F1F">
        <w:t>decommissioning</w:t>
      </w:r>
      <w:proofErr w:type="spellEnd"/>
      <w:r w:rsidRPr="00FE6F1F">
        <w:t xml:space="preserve"> </w:t>
      </w:r>
      <w:proofErr w:type="spellStart"/>
      <w:r w:rsidRPr="00FE6F1F">
        <w:t>of</w:t>
      </w:r>
      <w:proofErr w:type="spellEnd"/>
      <w:r w:rsidRPr="00FE6F1F">
        <w:t xml:space="preserve"> </w:t>
      </w:r>
      <w:proofErr w:type="spellStart"/>
      <w:r w:rsidRPr="00FE6F1F">
        <w:t>nuclear</w:t>
      </w:r>
      <w:proofErr w:type="spellEnd"/>
      <w:r w:rsidRPr="00FE6F1F">
        <w:t xml:space="preserve"> </w:t>
      </w:r>
      <w:proofErr w:type="spellStart"/>
      <w:r w:rsidRPr="00FE6F1F">
        <w:t>installations</w:t>
      </w:r>
      <w:proofErr w:type="spellEnd"/>
      <w:r w:rsidRPr="00FE6F1F">
        <w:t xml:space="preserve"> </w:t>
      </w:r>
      <w:proofErr w:type="spellStart"/>
      <w:r w:rsidRPr="00FE6F1F">
        <w:t>and</w:t>
      </w:r>
      <w:proofErr w:type="spellEnd"/>
      <w:r w:rsidRPr="00FE6F1F">
        <w:t xml:space="preserve"> </w:t>
      </w:r>
      <w:proofErr w:type="spellStart"/>
      <w:r w:rsidRPr="00FE6F1F">
        <w:t>legacy</w:t>
      </w:r>
      <w:proofErr w:type="spellEnd"/>
      <w:r w:rsidRPr="00FE6F1F">
        <w:t xml:space="preserve"> </w:t>
      </w:r>
      <w:proofErr w:type="spellStart"/>
      <w:r w:rsidRPr="00FE6F1F">
        <w:t>Management</w:t>
      </w:r>
      <w:proofErr w:type="spellEnd"/>
      <w:r w:rsidRPr="00FE6F1F">
        <w:t xml:space="preserve"> OECD/NEA в 2020 году.</w:t>
      </w:r>
    </w:p>
    <w:p w:rsidR="00FE6F1F" w:rsidRPr="00FE6F1F" w:rsidRDefault="00FE6F1F" w:rsidP="00FE6F1F">
      <w:pPr>
        <w:pStyle w:val="125"/>
        <w:ind w:firstLine="680"/>
      </w:pPr>
      <w:r w:rsidRPr="00FE6F1F">
        <w:t xml:space="preserve">Дополнительно стоит отметить, что в 2021 году исследовательским проектом Европейского союза </w:t>
      </w:r>
      <w:proofErr w:type="gramStart"/>
      <w:r w:rsidRPr="00FE6F1F">
        <w:t>SHARE ,</w:t>
      </w:r>
      <w:proofErr w:type="gramEnd"/>
      <w:r w:rsidRPr="00FE6F1F">
        <w:t xml:space="preserve"> осуществляемого при поддержке OECD/NEA и посвященным разработке дорожной карты развития технологий и методик ВЭ ОИАЭ на ближайшие 15-20 лет, был опубликован отчет об оценке текущего состояния технологий для нужд ВЭ в мире. В данном отчете в разделе, посвященном обзору цифровых решений сопровождения процессов ВЭ ОИАЭ, из известных на сегодняшний день указаны следующие:</w:t>
      </w:r>
    </w:p>
    <w:p w:rsidR="00FE6F1F" w:rsidRPr="00FE6F1F" w:rsidRDefault="00FE6F1F" w:rsidP="00FE6F1F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FE6F1F">
        <w:rPr>
          <w:sz w:val="24"/>
        </w:rPr>
        <w:t xml:space="preserve">DEM </w:t>
      </w:r>
      <w:proofErr w:type="spellStart"/>
      <w:r w:rsidRPr="00FE6F1F">
        <w:rPr>
          <w:sz w:val="24"/>
        </w:rPr>
        <w:t>Plus</w:t>
      </w:r>
      <w:proofErr w:type="spellEnd"/>
      <w:r w:rsidRPr="00FE6F1F">
        <w:rPr>
          <w:sz w:val="24"/>
        </w:rPr>
        <w:t>, разработчик CEA (Комиссариат по атомной и альтернативной энергетики, Франция);</w:t>
      </w:r>
    </w:p>
    <w:p w:rsidR="00FE6F1F" w:rsidRPr="00FE6F1F" w:rsidRDefault="00FE6F1F" w:rsidP="00FE6F1F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  <w:lang w:val="en-US"/>
        </w:rPr>
      </w:pPr>
      <w:r w:rsidRPr="00FE6F1F">
        <w:rPr>
          <w:sz w:val="24"/>
          <w:lang w:val="en-US"/>
        </w:rPr>
        <w:t xml:space="preserve">Digital Decommissioning, </w:t>
      </w:r>
      <w:r w:rsidRPr="00FE6F1F">
        <w:rPr>
          <w:sz w:val="24"/>
        </w:rPr>
        <w:t>разработчик</w:t>
      </w:r>
      <w:r w:rsidRPr="00FE6F1F">
        <w:rPr>
          <w:sz w:val="24"/>
          <w:lang w:val="en-US"/>
        </w:rPr>
        <w:t xml:space="preserve"> </w:t>
      </w:r>
      <w:r w:rsidRPr="00FE6F1F">
        <w:rPr>
          <w:sz w:val="24"/>
        </w:rPr>
        <w:t>АО</w:t>
      </w:r>
      <w:r w:rsidRPr="00FE6F1F">
        <w:rPr>
          <w:sz w:val="24"/>
          <w:lang w:val="en-US"/>
        </w:rPr>
        <w:t xml:space="preserve"> </w:t>
      </w:r>
      <w:r w:rsidRPr="00FE6F1F">
        <w:rPr>
          <w:sz w:val="24"/>
        </w:rPr>
        <w:t>ГК</w:t>
      </w:r>
      <w:r w:rsidRPr="00FE6F1F">
        <w:rPr>
          <w:sz w:val="24"/>
          <w:lang w:val="en-US"/>
        </w:rPr>
        <w:t xml:space="preserve"> «</w:t>
      </w:r>
      <w:r w:rsidRPr="00FE6F1F">
        <w:rPr>
          <w:sz w:val="24"/>
        </w:rPr>
        <w:t>НЕОЛАНТ</w:t>
      </w:r>
      <w:r w:rsidRPr="00FE6F1F">
        <w:rPr>
          <w:sz w:val="24"/>
          <w:lang w:val="en-US"/>
        </w:rPr>
        <w:t>»;</w:t>
      </w:r>
    </w:p>
    <w:p w:rsidR="00FE6F1F" w:rsidRPr="00FE6F1F" w:rsidRDefault="00FE6F1F" w:rsidP="00FE6F1F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FE6F1F">
        <w:rPr>
          <w:sz w:val="24"/>
        </w:rPr>
        <w:t xml:space="preserve">HVRC </w:t>
      </w:r>
      <w:proofErr w:type="spellStart"/>
      <w:r w:rsidRPr="00FE6F1F">
        <w:rPr>
          <w:sz w:val="24"/>
        </w:rPr>
        <w:t>VRdose</w:t>
      </w:r>
      <w:proofErr w:type="spellEnd"/>
      <w:r w:rsidRPr="00FE6F1F">
        <w:rPr>
          <w:sz w:val="24"/>
        </w:rPr>
        <w:t>, разработчик IFE (Институт энергетических технологий, Норвегия);</w:t>
      </w:r>
    </w:p>
    <w:p w:rsidR="00FE6F1F" w:rsidRPr="00FE6F1F" w:rsidRDefault="00FE6F1F" w:rsidP="00FE6F1F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FE6F1F">
        <w:rPr>
          <w:sz w:val="24"/>
        </w:rPr>
        <w:t>PRESAGE, разработчик CEA;</w:t>
      </w:r>
    </w:p>
    <w:p w:rsidR="00FE6F1F" w:rsidRPr="00FE6F1F" w:rsidRDefault="00FE6F1F" w:rsidP="00FE6F1F">
      <w:pPr>
        <w:numPr>
          <w:ilvl w:val="0"/>
          <w:numId w:val="2"/>
        </w:numPr>
        <w:tabs>
          <w:tab w:val="clear" w:pos="1485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</w:rPr>
      </w:pPr>
      <w:r w:rsidRPr="00FE6F1F">
        <w:rPr>
          <w:sz w:val="24"/>
        </w:rPr>
        <w:t>N-</w:t>
      </w:r>
      <w:proofErr w:type="spellStart"/>
      <w:r w:rsidRPr="00FE6F1F">
        <w:rPr>
          <w:sz w:val="24"/>
        </w:rPr>
        <w:t>Visage</w:t>
      </w:r>
      <w:proofErr w:type="spellEnd"/>
      <w:r w:rsidRPr="00FE6F1F">
        <w:rPr>
          <w:sz w:val="24"/>
        </w:rPr>
        <w:t xml:space="preserve">, разработчик </w:t>
      </w:r>
      <w:proofErr w:type="spellStart"/>
      <w:r w:rsidRPr="00FE6F1F">
        <w:rPr>
          <w:sz w:val="24"/>
        </w:rPr>
        <w:t>Createc</w:t>
      </w:r>
      <w:proofErr w:type="spellEnd"/>
      <w:r w:rsidRPr="00FE6F1F">
        <w:rPr>
          <w:sz w:val="24"/>
        </w:rPr>
        <w:t xml:space="preserve"> (Великобритания).</w:t>
      </w:r>
    </w:p>
    <w:p w:rsidR="00FE6F1F" w:rsidRPr="00FE6F1F" w:rsidRDefault="00FE6F1F" w:rsidP="00FE6F1F">
      <w:pPr>
        <w:pStyle w:val="125"/>
        <w:ind w:firstLine="680"/>
      </w:pPr>
      <w:r w:rsidRPr="00FE6F1F">
        <w:t xml:space="preserve">Участниками проекта SHARE являются  CEA (Франция), </w:t>
      </w:r>
      <w:proofErr w:type="spellStart"/>
      <w:r w:rsidRPr="00FE6F1F">
        <w:t>Efficient</w:t>
      </w:r>
      <w:proofErr w:type="spellEnd"/>
      <w:r w:rsidRPr="00FE6F1F">
        <w:t xml:space="preserve"> </w:t>
      </w:r>
      <w:proofErr w:type="spellStart"/>
      <w:r w:rsidRPr="00FE6F1F">
        <w:t>Innovation</w:t>
      </w:r>
      <w:proofErr w:type="spellEnd"/>
      <w:r w:rsidRPr="00FE6F1F">
        <w:t xml:space="preserve"> (консалтинговая компания, Франция), ENRESA (уполномоченный государственный оператор по обращению с РАО, Испания), IFE (Норвегия), JRC (Объединенный исследовательский центр Евросоюза), KIT (Технологический институт Карлсруэ, Германия), LEI (Литовский институт энергетики), NNL (Национальная ядерная лаборатория, Великобритания), SCK-CEN (Центр ядерных исследований, Бельгия), SOGIN (государственный оператор по ВЭ ОИАЭ, Италия), VTT (Инженерный исследовательский центр, Финляндия). Помимо основных участников проекта, существует экспертная панель, которая включает в себя 16 ведущих профильных организаций из 11 стран, среди которых EDF (Франция), ENGIE (франко-бельгийская энергетическая компания), CEPN (Исследовательский центр радиационной безопасности, Франция), EPRI (США), KAERI (Республика Корея), </w:t>
      </w:r>
      <w:proofErr w:type="spellStart"/>
      <w:r w:rsidRPr="00FE6F1F">
        <w:t>Sellafield</w:t>
      </w:r>
      <w:proofErr w:type="spellEnd"/>
      <w:r w:rsidRPr="00FE6F1F">
        <w:t xml:space="preserve"> </w:t>
      </w:r>
      <w:proofErr w:type="spellStart"/>
      <w:r w:rsidRPr="00FE6F1F">
        <w:t>Ltd</w:t>
      </w:r>
      <w:proofErr w:type="spellEnd"/>
      <w:r w:rsidRPr="00FE6F1F">
        <w:t>. (Великобритания), TUV NORD (Германия), NDA (Управление по выводу из эксплуатации ОИАЭ, Великобритания) и ряд других. При этом отмечено, что на данный момент участники проекта SHARE не имеют готового решения и планируют его разрабатывать, а решение ГК «НЕОЛАНТ» является единственным отмеченными проектом SHARE среди стран, не входящих в состав участников проекта или его экспертную панель, как высокоэффективный продукт.</w:t>
      </w:r>
    </w:p>
    <w:p w:rsidR="00FE6F1F" w:rsidRPr="00561FEA" w:rsidRDefault="00FE6F1F" w:rsidP="00FE6F1F">
      <w:pPr>
        <w:pStyle w:val="125"/>
        <w:ind w:firstLine="680"/>
      </w:pPr>
      <w:proofErr w:type="spellStart"/>
      <w:r w:rsidRPr="00FE6F1F">
        <w:t>Digital</w:t>
      </w:r>
      <w:proofErr w:type="spellEnd"/>
      <w:r w:rsidRPr="00FE6F1F">
        <w:t xml:space="preserve"> </w:t>
      </w:r>
      <w:proofErr w:type="spellStart"/>
      <w:r w:rsidRPr="00FE6F1F">
        <w:t>Decommissioning</w:t>
      </w:r>
      <w:proofErr w:type="spellEnd"/>
      <w:r w:rsidRPr="00FE6F1F">
        <w:t xml:space="preserve"> предназначен для обеспечения основной деятельности широкого круга организаций-участников вывода из эксплуатации объектов атомной энергии: эксплуатирующих организаций, проектно-технологических и проектно-конструкторских организаций, разрабатывающих технологии, проектные решения и оборудование для вывода из эксплуатации, строительно-монтажных организаций, оказывающих услуги по демонтажу, организаций, осуществляющих переработку, хранение и захоронение радиоактивных отходов. АО ГК НЕОЛАНТ является частной коммерческой компанией, имеющей референции выполнения проектов и достаточный штат компетентных сотрудников, как для IT сектора рынка, так и для Инжиниринга, в частности в областях Вывода из эксплуатации ОИАЭ и обращения с РАО.</w:t>
      </w:r>
      <w:bookmarkEnd w:id="0"/>
      <w:bookmarkEnd w:id="1"/>
      <w:bookmarkEnd w:id="2"/>
    </w:p>
    <w:sectPr w:rsidR="00FE6F1F" w:rsidRPr="0056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189"/>
    <w:multiLevelType w:val="hybridMultilevel"/>
    <w:tmpl w:val="D392183C"/>
    <w:lvl w:ilvl="0" w:tplc="C2CED114">
      <w:start w:val="1"/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CA20FC1"/>
    <w:multiLevelType w:val="multilevel"/>
    <w:tmpl w:val="3020B02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148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839"/>
        </w:tabs>
        <w:ind w:left="1839" w:hanging="148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01"/>
        </w:tabs>
        <w:ind w:left="29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9"/>
        </w:tabs>
        <w:ind w:left="36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75"/>
    <w:rsid w:val="000E6575"/>
    <w:rsid w:val="00502771"/>
    <w:rsid w:val="005C11B7"/>
    <w:rsid w:val="008D3245"/>
    <w:rsid w:val="00CA5611"/>
    <w:rsid w:val="00CE12C0"/>
    <w:rsid w:val="00EE179F"/>
    <w:rsid w:val="00F2331F"/>
    <w:rsid w:val="00FE6F1F"/>
    <w:rsid w:val="00FE70CE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0AF0"/>
  <w15:chartTrackingRefBased/>
  <w15:docId w15:val="{D96F7AAD-154F-4AD9-8BAF-64ADD38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6575"/>
    <w:pPr>
      <w:keepNext/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57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a3">
    <w:name w:val="Текст: Стандартный"/>
    <w:basedOn w:val="a"/>
    <w:rsid w:val="000E6575"/>
    <w:pPr>
      <w:widowControl w:val="0"/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0E657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0E65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E6575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rsid w:val="000E657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Рисунок в тексте Знак"/>
    <w:link w:val="a8"/>
    <w:locked/>
    <w:rsid w:val="000E6575"/>
    <w:rPr>
      <w:sz w:val="24"/>
      <w:lang w:val="x-none"/>
    </w:rPr>
  </w:style>
  <w:style w:type="paragraph" w:customStyle="1" w:styleId="a8">
    <w:name w:val="Рисунок в тексте"/>
    <w:basedOn w:val="a9"/>
    <w:next w:val="125"/>
    <w:link w:val="a7"/>
    <w:qFormat/>
    <w:rsid w:val="000E6575"/>
    <w:pPr>
      <w:keepNext/>
      <w:keepLines/>
      <w:spacing w:after="0" w:line="240" w:lineRule="auto"/>
      <w:jc w:val="center"/>
    </w:pPr>
    <w:rPr>
      <w:sz w:val="24"/>
      <w:lang w:val="x-none"/>
    </w:rPr>
  </w:style>
  <w:style w:type="paragraph" w:customStyle="1" w:styleId="-">
    <w:name w:val="Рисунок - подпись"/>
    <w:basedOn w:val="125"/>
    <w:qFormat/>
    <w:rsid w:val="000E6575"/>
    <w:pPr>
      <w:ind w:firstLine="680"/>
      <w:jc w:val="center"/>
    </w:pPr>
  </w:style>
  <w:style w:type="paragraph" w:styleId="a9">
    <w:name w:val="Body Text"/>
    <w:basedOn w:val="a"/>
    <w:link w:val="aa"/>
    <w:uiPriority w:val="99"/>
    <w:semiHidden/>
    <w:unhideWhenUsed/>
    <w:rsid w:val="000E65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6575"/>
  </w:style>
  <w:style w:type="paragraph" w:styleId="ab">
    <w:name w:val="Balloon Text"/>
    <w:basedOn w:val="a"/>
    <w:link w:val="ac"/>
    <w:uiPriority w:val="99"/>
    <w:semiHidden/>
    <w:unhideWhenUsed/>
    <w:rsid w:val="000E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Глухоедова Виктория</dc:creator>
  <cp:keywords/>
  <dc:description/>
  <cp:lastModifiedBy>Гуралев Сергей</cp:lastModifiedBy>
  <cp:revision>4</cp:revision>
  <dcterms:created xsi:type="dcterms:W3CDTF">2021-10-17T14:12:00Z</dcterms:created>
  <dcterms:modified xsi:type="dcterms:W3CDTF">2021-10-18T09:10:00Z</dcterms:modified>
</cp:coreProperties>
</file>